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433" w:rsidRPr="00F16EA0" w:rsidRDefault="00B03649" w:rsidP="00ED3096">
      <w:pPr>
        <w:pStyle w:val="Heading6"/>
        <w:ind w:left="1440"/>
        <w:rPr>
          <w:b/>
          <w:color w:val="80808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-70485</wp:posOffset>
            </wp:positionV>
            <wp:extent cx="752475" cy="752475"/>
            <wp:effectExtent l="0" t="0" r="9525" b="9525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1637030</wp:posOffset>
                </wp:positionH>
                <wp:positionV relativeFrom="paragraph">
                  <wp:posOffset>-156210</wp:posOffset>
                </wp:positionV>
                <wp:extent cx="1270" cy="1860550"/>
                <wp:effectExtent l="19050" t="0" r="17780" b="254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60550"/>
                          <a:chOff x="2729" y="-537"/>
                          <a:chExt cx="2" cy="293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729" y="-537"/>
                            <a:ext cx="2" cy="2930"/>
                          </a:xfrm>
                          <a:custGeom>
                            <a:avLst/>
                            <a:gdLst>
                              <a:gd name="T0" fmla="+- 0 2394 -537"/>
                              <a:gd name="T1" fmla="*/ 2394 h 2930"/>
                              <a:gd name="T2" fmla="+- 0 -537 -537"/>
                              <a:gd name="T3" fmla="*/ -537 h 29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0">
                                <a:moveTo>
                                  <a:pt x="0" y="29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0">
                            <a:solidFill>
                              <a:srgbClr val="0054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D2401" id="Group 2" o:spid="_x0000_s1026" style="position:absolute;margin-left:128.9pt;margin-top:-12.3pt;width:.1pt;height:146.5pt;z-index:251657728;mso-position-horizontal-relative:page" coordorigin="2729,-537" coordsize="2,2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">
                <v:shape id="Freeform 3" o:spid="_x0000_s1027" style="position:absolute;left:2729;top:-537;width:2;height:2930;visibility:visible;mso-wrap-style:square;v-text-anchor:top" coordsize="2,2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" path="m,2931l,e" filled="f" strokecolor="#005493" strokeweight="3.6pt">
                  <v:path arrowok="t" o:connecttype="custom" o:connectlocs="0,2394;0,-537" o:connectangles="0,0"/>
                </v:shape>
                <w10:wrap anchorx="page"/>
              </v:group>
            </w:pict>
          </mc:Fallback>
        </mc:AlternateContent>
      </w:r>
      <w:r w:rsidR="00FE7433" w:rsidRPr="00F16EA0">
        <w:rPr>
          <w:b/>
          <w:color w:val="808080"/>
          <w:sz w:val="23"/>
          <w:szCs w:val="23"/>
        </w:rPr>
        <w:t>Department of Public Safety</w:t>
      </w:r>
    </w:p>
    <w:p w:rsidR="00FE7433" w:rsidRDefault="00FE7433" w:rsidP="00ED3096">
      <w:pPr>
        <w:pStyle w:val="Heading7"/>
        <w:ind w:left="1440"/>
        <w:rPr>
          <w:bCs w:val="0"/>
          <w:color w:val="808080"/>
          <w:sz w:val="16"/>
          <w:szCs w:val="16"/>
        </w:rPr>
      </w:pPr>
    </w:p>
    <w:p w:rsidR="0018096E" w:rsidRPr="0018096E" w:rsidRDefault="003F011B" w:rsidP="0018096E">
      <w:pPr>
        <w:pStyle w:val="Heading7"/>
        <w:ind w:left="1440"/>
        <w:rPr>
          <w:bCs w:val="0"/>
          <w:color w:val="808080"/>
          <w:sz w:val="15"/>
          <w:szCs w:val="15"/>
        </w:rPr>
      </w:pPr>
      <w:r>
        <w:rPr>
          <w:bCs w:val="0"/>
          <w:color w:val="808080"/>
          <w:sz w:val="15"/>
          <w:szCs w:val="15"/>
        </w:rPr>
        <w:t>JESS ANDERSON</w:t>
      </w:r>
    </w:p>
    <w:p w:rsidR="0018096E" w:rsidRPr="0018096E" w:rsidRDefault="00FE7433" w:rsidP="0018096E">
      <w:pPr>
        <w:pStyle w:val="Heading8"/>
        <w:ind w:left="1440"/>
        <w:rPr>
          <w:bCs w:val="0"/>
          <w:color w:val="808080"/>
          <w:sz w:val="13"/>
          <w:szCs w:val="13"/>
        </w:rPr>
      </w:pPr>
      <w:r w:rsidRPr="00F16EA0">
        <w:rPr>
          <w:bCs w:val="0"/>
          <w:color w:val="808080"/>
          <w:sz w:val="13"/>
          <w:szCs w:val="13"/>
        </w:rPr>
        <w:t>Commissioner</w:t>
      </w:r>
    </w:p>
    <w:p w:rsidR="00FE7433" w:rsidRDefault="00FE7433" w:rsidP="00ED3096">
      <w:pPr>
        <w:pStyle w:val="Heading7"/>
        <w:ind w:left="1440"/>
        <w:rPr>
          <w:bCs w:val="0"/>
          <w:color w:val="808080"/>
          <w:sz w:val="16"/>
          <w:szCs w:val="16"/>
        </w:rPr>
      </w:pPr>
    </w:p>
    <w:p w:rsidR="00FE7433" w:rsidRDefault="00FE7433" w:rsidP="00ED3096">
      <w:pPr>
        <w:pStyle w:val="Heading7"/>
        <w:ind w:left="1440"/>
        <w:rPr>
          <w:bCs w:val="0"/>
          <w:color w:val="808080"/>
          <w:sz w:val="16"/>
          <w:szCs w:val="16"/>
        </w:rPr>
      </w:pPr>
    </w:p>
    <w:p w:rsidR="00FE7433" w:rsidRPr="00A70526" w:rsidRDefault="00B03649" w:rsidP="00ED3096">
      <w:pPr>
        <w:pStyle w:val="Heading7"/>
        <w:rPr>
          <w:bCs w:val="0"/>
          <w:color w:val="808080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20320</wp:posOffset>
                </wp:positionV>
                <wp:extent cx="1285875" cy="1053465"/>
                <wp:effectExtent l="0" t="127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433" w:rsidRDefault="00FE7433" w:rsidP="00F16EA0">
                            <w:pPr>
                              <w:ind w:left="84" w:right="-55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82426"/>
                                <w:sz w:val="23"/>
                                <w:szCs w:val="23"/>
                              </w:rPr>
                              <w:t>State</w:t>
                            </w:r>
                            <w:r>
                              <w:rPr>
                                <w:b/>
                                <w:bCs/>
                                <w:color w:val="282426"/>
                                <w:spacing w:val="19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82426"/>
                                <w:sz w:val="23"/>
                                <w:szCs w:val="23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color w:val="282426"/>
                                <w:spacing w:val="2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82426"/>
                                <w:w w:val="106"/>
                                <w:sz w:val="23"/>
                                <w:szCs w:val="23"/>
                              </w:rPr>
                              <w:t>Utah</w:t>
                            </w:r>
                          </w:p>
                          <w:p w:rsidR="00FE7433" w:rsidRDefault="00FE7433" w:rsidP="00F16EA0">
                            <w:pPr>
                              <w:spacing w:before="13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7433" w:rsidRDefault="00FE7433" w:rsidP="00F16EA0">
                            <w:pPr>
                              <w:ind w:left="75" w:right="-51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82426"/>
                                <w:sz w:val="15"/>
                                <w:szCs w:val="15"/>
                              </w:rPr>
                              <w:t>GARY</w:t>
                            </w:r>
                            <w:r>
                              <w:rPr>
                                <w:color w:val="282426"/>
                                <w:spacing w:val="1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282426"/>
                                <w:sz w:val="15"/>
                                <w:szCs w:val="15"/>
                              </w:rPr>
                              <w:t>R.</w:t>
                            </w:r>
                            <w:r>
                              <w:rPr>
                                <w:color w:val="282426"/>
                                <w:spacing w:val="1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282426"/>
                                <w:w w:val="104"/>
                                <w:sz w:val="15"/>
                                <w:szCs w:val="15"/>
                              </w:rPr>
                              <w:t>HERBERT</w:t>
                            </w:r>
                          </w:p>
                          <w:p w:rsidR="00FE7433" w:rsidRPr="000D43FF" w:rsidRDefault="00FE7433" w:rsidP="00F16EA0">
                            <w:pPr>
                              <w:spacing w:before="33"/>
                              <w:ind w:left="480" w:right="351"/>
                              <w:jc w:val="center"/>
                              <w:rPr>
                                <w:rFonts w:eastAsia="Arial"/>
                                <w:sz w:val="13"/>
                                <w:szCs w:val="13"/>
                              </w:rPr>
                            </w:pPr>
                            <w:r w:rsidRPr="000D43FF">
                              <w:rPr>
                                <w:rFonts w:eastAsia="Arial"/>
                                <w:i/>
                                <w:color w:val="282426"/>
                                <w:w w:val="106"/>
                                <w:sz w:val="13"/>
                                <w:szCs w:val="13"/>
                              </w:rPr>
                              <w:t>Governor</w:t>
                            </w:r>
                          </w:p>
                          <w:p w:rsidR="00FE7433" w:rsidRDefault="00FE7433" w:rsidP="00F16EA0">
                            <w:pPr>
                              <w:spacing w:before="2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FE7433" w:rsidRDefault="00FE7433" w:rsidP="00F16EA0">
                            <w:pPr>
                              <w:ind w:left="363" w:right="227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82426"/>
                                <w:sz w:val="15"/>
                                <w:szCs w:val="15"/>
                              </w:rPr>
                              <w:t>SPENCER J. COX</w:t>
                            </w:r>
                          </w:p>
                          <w:p w:rsidR="00FE7433" w:rsidRPr="000D43FF" w:rsidRDefault="00FE7433" w:rsidP="00F16EA0">
                            <w:pPr>
                              <w:spacing w:before="33"/>
                              <w:ind w:left="90" w:right="-40"/>
                              <w:jc w:val="center"/>
                              <w:rPr>
                                <w:rFonts w:eastAsia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eastAsia="Arial"/>
                                <w:i/>
                                <w:color w:val="282426"/>
                                <w:w w:val="106"/>
                                <w:sz w:val="13"/>
                                <w:szCs w:val="13"/>
                              </w:rPr>
                              <w:t>Lieutenant Governor</w:t>
                            </w:r>
                          </w:p>
                          <w:p w:rsidR="00FE7433" w:rsidRPr="0007728E" w:rsidRDefault="00FE7433" w:rsidP="0007728E">
                            <w:pPr>
                              <w:jc w:val="center"/>
                              <w:rPr>
                                <w:i/>
                                <w:spacing w:val="-6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5pt;margin-top:1.6pt;width:101.25pt;height:8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" stroked="f">
                <v:textbox>
                  <w:txbxContent>
                    <w:p w:rsidR="00FE7433" w:rsidRDefault="00FE7433" w:rsidP="00F16EA0">
                      <w:pPr>
                        <w:ind w:left="84" w:right="-55"/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282426"/>
                          <w:sz w:val="23"/>
                          <w:szCs w:val="23"/>
                        </w:rPr>
                        <w:t>State</w:t>
                      </w:r>
                      <w:r>
                        <w:rPr>
                          <w:b/>
                          <w:bCs/>
                          <w:color w:val="282426"/>
                          <w:spacing w:val="19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82426"/>
                          <w:sz w:val="23"/>
                          <w:szCs w:val="23"/>
                        </w:rPr>
                        <w:t>of</w:t>
                      </w:r>
                      <w:r>
                        <w:rPr>
                          <w:b/>
                          <w:bCs/>
                          <w:color w:val="282426"/>
                          <w:spacing w:val="28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82426"/>
                          <w:w w:val="106"/>
                          <w:sz w:val="23"/>
                          <w:szCs w:val="23"/>
                        </w:rPr>
                        <w:t>Utah</w:t>
                      </w:r>
                    </w:p>
                    <w:p w:rsidR="00FE7433" w:rsidRDefault="00FE7433" w:rsidP="00F16EA0">
                      <w:pPr>
                        <w:spacing w:before="13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E7433" w:rsidRDefault="00FE7433" w:rsidP="00F16EA0">
                      <w:pPr>
                        <w:ind w:left="75" w:right="-51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282426"/>
                          <w:sz w:val="15"/>
                          <w:szCs w:val="15"/>
                        </w:rPr>
                        <w:t>GARY</w:t>
                      </w:r>
                      <w:r>
                        <w:rPr>
                          <w:color w:val="282426"/>
                          <w:spacing w:val="1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color w:val="282426"/>
                          <w:sz w:val="15"/>
                          <w:szCs w:val="15"/>
                        </w:rPr>
                        <w:t>R.</w:t>
                      </w:r>
                      <w:r>
                        <w:rPr>
                          <w:color w:val="282426"/>
                          <w:spacing w:val="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color w:val="282426"/>
                          <w:w w:val="104"/>
                          <w:sz w:val="15"/>
                          <w:szCs w:val="15"/>
                        </w:rPr>
                        <w:t>HERBERT</w:t>
                      </w:r>
                    </w:p>
                    <w:p w:rsidR="00FE7433" w:rsidRPr="000D43FF" w:rsidRDefault="00FE7433" w:rsidP="00F16EA0">
                      <w:pPr>
                        <w:spacing w:before="33"/>
                        <w:ind w:left="480" w:right="351"/>
                        <w:jc w:val="center"/>
                        <w:rPr>
                          <w:rFonts w:eastAsia="Arial"/>
                          <w:sz w:val="13"/>
                          <w:szCs w:val="13"/>
                        </w:rPr>
                      </w:pPr>
                      <w:r w:rsidRPr="000D43FF">
                        <w:rPr>
                          <w:rFonts w:eastAsia="Arial"/>
                          <w:i/>
                          <w:color w:val="282426"/>
                          <w:w w:val="106"/>
                          <w:sz w:val="13"/>
                          <w:szCs w:val="13"/>
                        </w:rPr>
                        <w:t>Governor</w:t>
                      </w:r>
                    </w:p>
                    <w:p w:rsidR="00FE7433" w:rsidRDefault="00FE7433" w:rsidP="00F16EA0">
                      <w:pPr>
                        <w:spacing w:before="2" w:line="190" w:lineRule="exact"/>
                        <w:rPr>
                          <w:sz w:val="19"/>
                          <w:szCs w:val="19"/>
                        </w:rPr>
                      </w:pPr>
                    </w:p>
                    <w:p w:rsidR="00FE7433" w:rsidRDefault="00FE7433" w:rsidP="00F16EA0">
                      <w:pPr>
                        <w:ind w:left="363" w:right="227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282426"/>
                          <w:sz w:val="15"/>
                          <w:szCs w:val="15"/>
                        </w:rPr>
                        <w:t>SPENCER J. COX</w:t>
                      </w:r>
                    </w:p>
                    <w:p w:rsidR="00FE7433" w:rsidRPr="000D43FF" w:rsidRDefault="00FE7433" w:rsidP="00F16EA0">
                      <w:pPr>
                        <w:spacing w:before="33"/>
                        <w:ind w:left="90" w:right="-40"/>
                        <w:jc w:val="center"/>
                        <w:rPr>
                          <w:rFonts w:eastAsia="Arial"/>
                          <w:sz w:val="13"/>
                          <w:szCs w:val="13"/>
                        </w:rPr>
                      </w:pPr>
                      <w:r>
                        <w:rPr>
                          <w:rFonts w:eastAsia="Arial"/>
                          <w:i/>
                          <w:color w:val="282426"/>
                          <w:w w:val="106"/>
                          <w:sz w:val="13"/>
                          <w:szCs w:val="13"/>
                        </w:rPr>
                        <w:t>Lieutenant Governor</w:t>
                      </w:r>
                    </w:p>
                    <w:p w:rsidR="00FE7433" w:rsidRPr="0007728E" w:rsidRDefault="00FE7433" w:rsidP="0007728E">
                      <w:pPr>
                        <w:jc w:val="center"/>
                        <w:rPr>
                          <w:i/>
                          <w:spacing w:val="-6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7433" w:rsidRPr="0018096E" w:rsidRDefault="0018096E" w:rsidP="00ED3096">
      <w:pPr>
        <w:rPr>
          <w:sz w:val="15"/>
          <w:szCs w:val="15"/>
        </w:rPr>
      </w:pPr>
      <w:r>
        <w:tab/>
      </w:r>
      <w:r>
        <w:tab/>
      </w:r>
      <w:r>
        <w:rPr>
          <w:sz w:val="15"/>
          <w:szCs w:val="15"/>
        </w:rPr>
        <w:t>COY D. PORTER</w:t>
      </w:r>
    </w:p>
    <w:p w:rsidR="00FE7433" w:rsidRPr="0018096E" w:rsidRDefault="00FE7433" w:rsidP="00ED3096">
      <w:pPr>
        <w:rPr>
          <w:i/>
          <w:sz w:val="13"/>
          <w:szCs w:val="13"/>
        </w:rPr>
      </w:pPr>
      <w:r>
        <w:t xml:space="preserve"> </w:t>
      </w:r>
      <w:r w:rsidR="0018096E">
        <w:tab/>
      </w:r>
      <w:r w:rsidR="0018096E">
        <w:tab/>
      </w:r>
      <w:r w:rsidR="0018096E" w:rsidRPr="0018096E">
        <w:rPr>
          <w:i/>
          <w:sz w:val="13"/>
          <w:szCs w:val="13"/>
        </w:rPr>
        <w:t>State Fire Marshal</w:t>
      </w:r>
    </w:p>
    <w:p w:rsidR="00D831C2" w:rsidRDefault="00FE7433" w:rsidP="00ED3096">
      <w:r>
        <w:t xml:space="preserve">                       </w:t>
      </w:r>
    </w:p>
    <w:p w:rsidR="00D831C2" w:rsidRDefault="00D831C2" w:rsidP="00ED3096"/>
    <w:p w:rsidR="00D831C2" w:rsidRDefault="00D831C2" w:rsidP="00ED3096"/>
    <w:p w:rsidR="00D831C2" w:rsidRDefault="00D831C2" w:rsidP="00ED3096"/>
    <w:p w:rsidR="00D831C2" w:rsidRDefault="00D831C2" w:rsidP="00ED3096"/>
    <w:p w:rsidR="00D831C2" w:rsidRDefault="00D831C2" w:rsidP="00D831C2">
      <w:pPr>
        <w:spacing w:line="276" w:lineRule="auto"/>
      </w:pPr>
      <w:r>
        <w:t>To: All Utah School District Superintendents</w:t>
      </w:r>
    </w:p>
    <w:p w:rsidR="00D831C2" w:rsidRDefault="00D831C2" w:rsidP="00D831C2">
      <w:pPr>
        <w:spacing w:line="276" w:lineRule="auto"/>
      </w:pPr>
      <w:r>
        <w:t>From: Coy D. Porter, Utah State Fire Marshal</w:t>
      </w:r>
    </w:p>
    <w:p w:rsidR="00D831C2" w:rsidRDefault="00D831C2" w:rsidP="00D831C2">
      <w:pPr>
        <w:spacing w:line="276" w:lineRule="auto"/>
      </w:pPr>
      <w:r>
        <w:t>RE:  Update regarding school classroom door locks</w:t>
      </w:r>
    </w:p>
    <w:p w:rsidR="00D831C2" w:rsidRDefault="0025631D" w:rsidP="00D831C2">
      <w:pPr>
        <w:spacing w:line="276" w:lineRule="auto"/>
      </w:pPr>
      <w:r>
        <w:t>Date:  Ju</w:t>
      </w:r>
      <w:r w:rsidR="00F13A42">
        <w:t>ly</w:t>
      </w:r>
      <w:r>
        <w:t xml:space="preserve"> </w:t>
      </w:r>
      <w:r w:rsidR="00F13A42">
        <w:t>30</w:t>
      </w:r>
      <w:r w:rsidR="00D831C2">
        <w:t>, 2019</w:t>
      </w:r>
    </w:p>
    <w:p w:rsidR="00D831C2" w:rsidRDefault="00D831C2" w:rsidP="00D831C2"/>
    <w:p w:rsidR="00D831C2" w:rsidRDefault="00D831C2" w:rsidP="00D831C2">
      <w:pPr>
        <w:spacing w:line="276" w:lineRule="auto"/>
        <w:jc w:val="both"/>
      </w:pPr>
      <w:r>
        <w:t>The purpose of this communication is to update school districts on the requirements of the International Fire Code (IFC) for door locking devices in educational occupancies.</w:t>
      </w:r>
    </w:p>
    <w:p w:rsidR="00D831C2" w:rsidRDefault="00D831C2" w:rsidP="00D831C2">
      <w:pPr>
        <w:spacing w:line="276" w:lineRule="auto"/>
        <w:jc w:val="both"/>
      </w:pPr>
      <w:r>
        <w:t>Pursuant to Utah Code Ann. (U.C.A.) § 15A-5-103(1), the 2018 International Building and Fire Code, with amendments, has been incorporated by reference into the Utah State Fire Code and w</w:t>
      </w:r>
      <w:r w:rsidR="00BC5725">
        <w:t>ent</w:t>
      </w:r>
      <w:r>
        <w:t xml:space="preserve"> into effect on July 1, 2019.  The International Fire Code (IFC) Part III, </w:t>
      </w:r>
      <w:r w:rsidRPr="006E3FFE">
        <w:rPr>
          <w:i/>
        </w:rPr>
        <w:t>Building and Equipment Design Features</w:t>
      </w:r>
      <w:r>
        <w:t xml:space="preserve">, Chapter 10 </w:t>
      </w:r>
      <w:r w:rsidRPr="00275589">
        <w:rPr>
          <w:i/>
        </w:rPr>
        <w:t>Means of Egress</w:t>
      </w:r>
      <w:r>
        <w:rPr>
          <w:i/>
        </w:rPr>
        <w:t xml:space="preserve">, </w:t>
      </w:r>
      <w:r w:rsidRPr="00C24AC7">
        <w:t>section 1010.1.4.4</w:t>
      </w:r>
      <w:r>
        <w:t xml:space="preserve"> </w:t>
      </w:r>
      <w:r w:rsidRPr="00A35170">
        <w:rPr>
          <w:i/>
        </w:rPr>
        <w:t>Locking arrangements in educational occupancies</w:t>
      </w:r>
      <w:r>
        <w:t xml:space="preserve"> states,</w:t>
      </w:r>
    </w:p>
    <w:p w:rsidR="00D831C2" w:rsidRDefault="00D831C2" w:rsidP="00D831C2">
      <w:pPr>
        <w:spacing w:line="276" w:lineRule="auto"/>
        <w:ind w:left="576" w:right="576"/>
        <w:jc w:val="both"/>
      </w:pPr>
      <w:r w:rsidRPr="00A35170">
        <w:t xml:space="preserve"> In</w:t>
      </w:r>
      <w:r>
        <w:t xml:space="preserve"> Group E and Group B educational occupancies</w:t>
      </w:r>
      <w:r>
        <w:rPr>
          <w:rStyle w:val="FootnoteReference"/>
        </w:rPr>
        <w:footnoteReference w:id="1"/>
      </w:r>
      <w:r>
        <w:t xml:space="preserve">, egress doors from classrooms, offices and other occupied rooms </w:t>
      </w:r>
      <w:r w:rsidRPr="000F072F">
        <w:rPr>
          <w:i/>
        </w:rPr>
        <w:t>shall be permitted</w:t>
      </w:r>
      <w:r>
        <w:t xml:space="preserve"> [emphasis added] to be provided with locking arrangements designed to keep intruders from entering the room where all of the following conditions are met:</w:t>
      </w:r>
    </w:p>
    <w:p w:rsidR="00D831C2" w:rsidRPr="0025631D" w:rsidRDefault="00D831C2" w:rsidP="00D831C2">
      <w:pPr>
        <w:pStyle w:val="ListParagraph"/>
        <w:numPr>
          <w:ilvl w:val="0"/>
          <w:numId w:val="6"/>
        </w:numPr>
        <w:ind w:left="576" w:right="576"/>
        <w:jc w:val="both"/>
        <w:rPr>
          <w:rFonts w:ascii="Times New Roman" w:hAnsi="Times New Roman" w:cs="Times New Roman"/>
          <w:sz w:val="24"/>
        </w:rPr>
      </w:pPr>
      <w:r w:rsidRPr="0025631D">
        <w:rPr>
          <w:rFonts w:ascii="Times New Roman" w:hAnsi="Times New Roman" w:cs="Times New Roman"/>
          <w:sz w:val="24"/>
        </w:rPr>
        <w:t>The door shall be capable of being unlocked from outside the room with a key or other approved means.</w:t>
      </w:r>
    </w:p>
    <w:p w:rsidR="00D831C2" w:rsidRPr="0025631D" w:rsidRDefault="00D831C2" w:rsidP="00D831C2">
      <w:pPr>
        <w:pStyle w:val="ListParagraph"/>
        <w:numPr>
          <w:ilvl w:val="0"/>
          <w:numId w:val="6"/>
        </w:numPr>
        <w:ind w:left="576" w:right="576"/>
        <w:jc w:val="both"/>
        <w:rPr>
          <w:rFonts w:ascii="Times New Roman" w:hAnsi="Times New Roman" w:cs="Times New Roman"/>
          <w:sz w:val="24"/>
        </w:rPr>
      </w:pPr>
      <w:r w:rsidRPr="0025631D">
        <w:rPr>
          <w:rFonts w:ascii="Times New Roman" w:hAnsi="Times New Roman" w:cs="Times New Roman"/>
          <w:sz w:val="24"/>
        </w:rPr>
        <w:t>The door shall be openable from within the room in accordance with Section 1010.1.9.</w:t>
      </w:r>
    </w:p>
    <w:p w:rsidR="00D831C2" w:rsidRPr="0025631D" w:rsidRDefault="00D831C2" w:rsidP="00D831C2">
      <w:pPr>
        <w:pStyle w:val="ListParagraph"/>
        <w:numPr>
          <w:ilvl w:val="0"/>
          <w:numId w:val="6"/>
        </w:numPr>
        <w:ind w:left="576" w:right="576"/>
        <w:jc w:val="both"/>
        <w:rPr>
          <w:rFonts w:ascii="Times New Roman" w:hAnsi="Times New Roman" w:cs="Times New Roman"/>
          <w:sz w:val="24"/>
        </w:rPr>
      </w:pPr>
      <w:r w:rsidRPr="0025631D">
        <w:rPr>
          <w:rFonts w:ascii="Times New Roman" w:hAnsi="Times New Roman" w:cs="Times New Roman"/>
          <w:sz w:val="24"/>
        </w:rPr>
        <w:t>Modifications shall not be made to listed panic hardware, fire door hardware or door closers.</w:t>
      </w:r>
    </w:p>
    <w:p w:rsidR="00D831C2" w:rsidRDefault="00D831C2" w:rsidP="00D831C2">
      <w:pPr>
        <w:spacing w:line="276" w:lineRule="auto"/>
        <w:ind w:right="576"/>
        <w:jc w:val="both"/>
      </w:pPr>
      <w:r>
        <w:t xml:space="preserve">IFC Section </w:t>
      </w:r>
      <w:r w:rsidRPr="00963512">
        <w:t xml:space="preserve">1010.1.9 Door operations </w:t>
      </w:r>
      <w:r>
        <w:t>states,</w:t>
      </w:r>
      <w:r w:rsidRPr="00963512">
        <w:t xml:space="preserve"> </w:t>
      </w:r>
      <w:r>
        <w:t>‘[e]</w:t>
      </w:r>
      <w:proofErr w:type="spellStart"/>
      <w:r w:rsidRPr="00963512">
        <w:t>xcept</w:t>
      </w:r>
      <w:proofErr w:type="spellEnd"/>
      <w:r w:rsidRPr="00963512">
        <w:t xml:space="preserve"> as specifically permitted by this section, egress doors shall be readily openable from the egress side without the use of a key or special knowledge or effort</w:t>
      </w:r>
      <w:r>
        <w:t>.”</w:t>
      </w:r>
    </w:p>
    <w:p w:rsidR="00D831C2" w:rsidRDefault="00D831C2" w:rsidP="00D831C2">
      <w:pPr>
        <w:spacing w:line="276" w:lineRule="auto"/>
        <w:jc w:val="both"/>
      </w:pPr>
      <w:r>
        <w:lastRenderedPageBreak/>
        <w:t xml:space="preserve">The Utah Legislature made amendments to portions of the IFC during the 2018 session, some of which are reflected in </w:t>
      </w:r>
      <w:bookmarkStart w:id="0" w:name="_Hlk8907391"/>
      <w:r>
        <w:t>U.C.A.</w:t>
      </w:r>
      <w:r w:rsidRPr="00A35170">
        <w:t xml:space="preserve"> </w:t>
      </w:r>
      <w:bookmarkEnd w:id="0"/>
      <w:r>
        <w:t xml:space="preserve">§ </w:t>
      </w:r>
      <w:r w:rsidRPr="00A35170">
        <w:t>15A-</w:t>
      </w:r>
      <w:r>
        <w:t>5</w:t>
      </w:r>
      <w:r w:rsidRPr="00A35170">
        <w:t>-</w:t>
      </w:r>
      <w:r>
        <w:t>2</w:t>
      </w:r>
      <w:r w:rsidRPr="00A35170">
        <w:t>05</w:t>
      </w:r>
      <w:r>
        <w:t xml:space="preserve"> </w:t>
      </w:r>
      <w:r w:rsidRPr="00A35170">
        <w:rPr>
          <w:i/>
        </w:rPr>
        <w:t xml:space="preserve">Amendments </w:t>
      </w:r>
      <w:r>
        <w:rPr>
          <w:i/>
        </w:rPr>
        <w:t>and additions to IFC related to means of egress and special processes and uses</w:t>
      </w:r>
      <w:r>
        <w:t>.  Subsection (7) of that section states,</w:t>
      </w:r>
    </w:p>
    <w:p w:rsidR="00D831C2" w:rsidRPr="00214F22" w:rsidRDefault="00D831C2" w:rsidP="00D831C2">
      <w:pPr>
        <w:spacing w:line="276" w:lineRule="auto"/>
        <w:ind w:left="576" w:right="576"/>
        <w:jc w:val="both"/>
      </w:pPr>
      <w:r w:rsidRPr="00214F22">
        <w:t xml:space="preserve">In IFC, Chapter 10, Section 1010.1.9.5, Unlatching, Exception 5 is added after the existing Exception 4 as follows: “5. Group E occupancies </w:t>
      </w:r>
      <w:r w:rsidRPr="00214F22">
        <w:rPr>
          <w:i/>
        </w:rPr>
        <w:t>may</w:t>
      </w:r>
      <w:r w:rsidRPr="00214F22">
        <w:t xml:space="preserve"> </w:t>
      </w:r>
      <w:r>
        <w:t xml:space="preserve">[emphasis added] </w:t>
      </w:r>
      <w:bookmarkStart w:id="1" w:name="_Hlk8909929"/>
      <w:r w:rsidRPr="00214F22">
        <w:t>have a second lock on classrooms for purposes of a lockdown or lockdown drill, if:</w:t>
      </w:r>
    </w:p>
    <w:bookmarkEnd w:id="1"/>
    <w:p w:rsidR="00D831C2" w:rsidRPr="00214F22" w:rsidRDefault="00D831C2" w:rsidP="00D831C2">
      <w:pPr>
        <w:spacing w:line="276" w:lineRule="auto"/>
        <w:ind w:left="576" w:right="576"/>
        <w:jc w:val="both"/>
      </w:pPr>
      <w:r w:rsidRPr="00214F22">
        <w:t>5.1 The application of the lock is approved by the code official.</w:t>
      </w:r>
    </w:p>
    <w:p w:rsidR="00D831C2" w:rsidRPr="00214F22" w:rsidRDefault="00D831C2" w:rsidP="00D831C2">
      <w:pPr>
        <w:spacing w:line="276" w:lineRule="auto"/>
        <w:ind w:left="576" w:right="576"/>
        <w:jc w:val="both"/>
      </w:pPr>
      <w:r w:rsidRPr="00214F22">
        <w:t>5.2 The unlatching of any door or leaf does not require more than two operations.</w:t>
      </w:r>
    </w:p>
    <w:p w:rsidR="00D831C2" w:rsidRPr="00214F22" w:rsidRDefault="00D831C2" w:rsidP="00D831C2">
      <w:pPr>
        <w:spacing w:line="276" w:lineRule="auto"/>
        <w:ind w:left="576" w:right="576"/>
        <w:jc w:val="both"/>
      </w:pPr>
      <w:r w:rsidRPr="00214F22">
        <w:t>5.3 The lock can be released from the opposite side of the door on which it is installed.</w:t>
      </w:r>
    </w:p>
    <w:p w:rsidR="00D831C2" w:rsidRPr="00214F22" w:rsidRDefault="00D831C2" w:rsidP="00D831C2">
      <w:pPr>
        <w:spacing w:line="276" w:lineRule="auto"/>
        <w:ind w:left="576" w:right="576"/>
        <w:jc w:val="both"/>
      </w:pPr>
      <w:r w:rsidRPr="00214F22">
        <w:t>5.4 The lock is only applied during lockdown or during a lockdown drill.</w:t>
      </w:r>
    </w:p>
    <w:p w:rsidR="00D831C2" w:rsidRDefault="00D831C2" w:rsidP="00D831C2">
      <w:pPr>
        <w:spacing w:line="276" w:lineRule="auto"/>
        <w:ind w:left="576" w:right="576"/>
        <w:jc w:val="both"/>
      </w:pPr>
      <w:r w:rsidRPr="00214F22">
        <w:t>5.5 The lock complies with all other state and federal regulations, including the Americans with Disabilities Act of 1990, 42 U.S.C. Sec. 12101 et seq.”</w:t>
      </w:r>
    </w:p>
    <w:p w:rsidR="00D831C2" w:rsidRPr="008B214F" w:rsidRDefault="00D831C2" w:rsidP="00D831C2">
      <w:pPr>
        <w:spacing w:line="276" w:lineRule="auto"/>
        <w:jc w:val="both"/>
      </w:pPr>
      <w:r>
        <w:t xml:space="preserve">To summarize, the Utah Code permits, </w:t>
      </w:r>
      <w:bookmarkStart w:id="2" w:name="_GoBack"/>
      <w:r w:rsidRPr="00244A8E">
        <w:rPr>
          <w:u w:val="single"/>
        </w:rPr>
        <w:t>but does not mandate</w:t>
      </w:r>
      <w:r>
        <w:t xml:space="preserve"> </w:t>
      </w:r>
      <w:bookmarkEnd w:id="2"/>
      <w:r>
        <w:t>a school to install</w:t>
      </w:r>
      <w:r w:rsidRPr="008B214F">
        <w:t xml:space="preserve"> a second lock on classroom</w:t>
      </w:r>
      <w:r>
        <w:t xml:space="preserve"> doors</w:t>
      </w:r>
      <w:r w:rsidRPr="008B214F">
        <w:t xml:space="preserve"> for purposes of a lockdown or lockdown drill,</w:t>
      </w:r>
      <w:r w:rsidR="0025631D">
        <w:t xml:space="preserve"> if the five</w:t>
      </w:r>
      <w:r>
        <w:t xml:space="preserve"> statutory criteria are met.</w:t>
      </w:r>
    </w:p>
    <w:p w:rsidR="00D831C2" w:rsidRPr="005756A8" w:rsidRDefault="00D831C2" w:rsidP="00D831C2">
      <w:pPr>
        <w:spacing w:line="276" w:lineRule="auto"/>
        <w:jc w:val="both"/>
      </w:pPr>
      <w:r>
        <w:t>The</w:t>
      </w:r>
      <w:r w:rsidRPr="005756A8">
        <w:t xml:space="preserve"> Utah State Fire Marshal’s Office (SFMO) </w:t>
      </w:r>
      <w:r>
        <w:t>has evaluated</w:t>
      </w:r>
      <w:r w:rsidRPr="005756A8">
        <w:t xml:space="preserve"> all after-market door locking devices</w:t>
      </w:r>
      <w:r w:rsidR="00F13A42">
        <w:t xml:space="preserve"> and barricade devices</w:t>
      </w:r>
      <w:r w:rsidRPr="005756A8">
        <w:t xml:space="preserve"> </w:t>
      </w:r>
      <w:r>
        <w:t xml:space="preserve">to determine whether the application of those locks could be approved under the statutory criteria.  Until recently, all </w:t>
      </w:r>
      <w:r w:rsidRPr="005756A8">
        <w:t>such devices</w:t>
      </w:r>
      <w:r w:rsidRPr="007D3BC6">
        <w:t xml:space="preserve"> </w:t>
      </w:r>
      <w:r>
        <w:t xml:space="preserve">were </w:t>
      </w:r>
      <w:r w:rsidRPr="005756A8">
        <w:t xml:space="preserve">found </w:t>
      </w:r>
      <w:r>
        <w:t xml:space="preserve">to </w:t>
      </w:r>
      <w:r w:rsidRPr="005756A8">
        <w:t>ha</w:t>
      </w:r>
      <w:r>
        <w:t>ve</w:t>
      </w:r>
      <w:r w:rsidRPr="005756A8">
        <w:t xml:space="preserve"> one or more deficiencies, and </w:t>
      </w:r>
      <w:r>
        <w:t>none were</w:t>
      </w:r>
      <w:r w:rsidRPr="005756A8">
        <w:t xml:space="preserve"> approved for use in the State.</w:t>
      </w:r>
    </w:p>
    <w:p w:rsidR="00D831C2" w:rsidRPr="005756A8" w:rsidRDefault="00D831C2" w:rsidP="00D831C2">
      <w:pPr>
        <w:spacing w:line="276" w:lineRule="auto"/>
        <w:jc w:val="both"/>
      </w:pPr>
      <w:r w:rsidRPr="005756A8">
        <w:t>In December 2018 and in February of 2019, two different locking devices</w:t>
      </w:r>
      <w:r>
        <w:t xml:space="preserve"> </w:t>
      </w:r>
      <w:r w:rsidRPr="005756A8">
        <w:t xml:space="preserve">presented to the SFMO for evaluation </w:t>
      </w:r>
      <w:r>
        <w:t>have now been</w:t>
      </w:r>
      <w:r w:rsidRPr="005756A8">
        <w:t xml:space="preserve"> determine</w:t>
      </w:r>
      <w:r>
        <w:t>d to be in</w:t>
      </w:r>
      <w:r w:rsidRPr="005756A8">
        <w:t xml:space="preserve"> compliance with the </w:t>
      </w:r>
      <w:r>
        <w:t>adopted Utah Code</w:t>
      </w:r>
      <w:r w:rsidRPr="005756A8">
        <w:t>.</w:t>
      </w:r>
    </w:p>
    <w:p w:rsidR="00D831C2" w:rsidRDefault="00D831C2" w:rsidP="00D831C2">
      <w:pPr>
        <w:spacing w:line="276" w:lineRule="auto"/>
        <w:jc w:val="both"/>
      </w:pPr>
      <w:r w:rsidRPr="005756A8">
        <w:t>Listed alphabetically</w:t>
      </w:r>
      <w:r>
        <w:t>,</w:t>
      </w:r>
      <w:r w:rsidRPr="005756A8">
        <w:t xml:space="preserve"> the </w:t>
      </w:r>
      <w:r>
        <w:t>following are the after-market</w:t>
      </w:r>
      <w:r w:rsidRPr="005756A8">
        <w:t xml:space="preserve"> devices </w:t>
      </w:r>
      <w:r>
        <w:t>that</w:t>
      </w:r>
      <w:r w:rsidRPr="005756A8">
        <w:t xml:space="preserve"> </w:t>
      </w:r>
      <w:r w:rsidR="00154C51">
        <w:t xml:space="preserve">the </w:t>
      </w:r>
      <w:r>
        <w:t xml:space="preserve">SFMO has determined </w:t>
      </w:r>
      <w:r w:rsidRPr="005756A8">
        <w:t xml:space="preserve">meet the Utah State </w:t>
      </w:r>
      <w:r>
        <w:t>Building</w:t>
      </w:r>
      <w:r w:rsidRPr="005756A8">
        <w:t xml:space="preserve"> </w:t>
      </w:r>
      <w:r>
        <w:t>and Fire Codes</w:t>
      </w:r>
      <w:r w:rsidRPr="005756A8">
        <w:t>:</w:t>
      </w:r>
      <w:r>
        <w:t xml:space="preserve"> </w:t>
      </w:r>
      <w:r w:rsidRPr="005756A8">
        <w:t xml:space="preserve">“SAFEBOLT” by </w:t>
      </w:r>
      <w:proofErr w:type="spellStart"/>
      <w:r w:rsidRPr="005756A8">
        <w:t>Securitech</w:t>
      </w:r>
      <w:proofErr w:type="spellEnd"/>
      <w:r w:rsidRPr="005756A8">
        <w:t xml:space="preserve"> and “</w:t>
      </w:r>
      <w:proofErr w:type="spellStart"/>
      <w:r w:rsidRPr="005756A8">
        <w:t>TeacherLock</w:t>
      </w:r>
      <w:proofErr w:type="spellEnd"/>
      <w:r w:rsidRPr="005756A8">
        <w:t>” by Defcon Products</w:t>
      </w:r>
    </w:p>
    <w:p w:rsidR="00D831C2" w:rsidRDefault="00D831C2" w:rsidP="00D831C2">
      <w:pPr>
        <w:spacing w:line="276" w:lineRule="auto"/>
        <w:jc w:val="both"/>
      </w:pPr>
    </w:p>
    <w:p w:rsidR="00D831C2" w:rsidRPr="00963E05" w:rsidRDefault="00D831C2" w:rsidP="00D831C2">
      <w:pPr>
        <w:spacing w:line="276" w:lineRule="auto"/>
        <w:jc w:val="both"/>
      </w:pPr>
      <w:r w:rsidRPr="00963E05">
        <w:t>Please note that the SF</w:t>
      </w:r>
      <w:r>
        <w:t>M</w:t>
      </w:r>
      <w:r w:rsidRPr="00963E05">
        <w:t xml:space="preserve">O </w:t>
      </w:r>
      <w:r>
        <w:t>has</w:t>
      </w:r>
      <w:r w:rsidRPr="00963E05">
        <w:t xml:space="preserve"> only determine</w:t>
      </w:r>
      <w:r>
        <w:t>d</w:t>
      </w:r>
      <w:r w:rsidRPr="00963E05">
        <w:t xml:space="preserve"> whether the products comply with the criteria listed in</w:t>
      </w:r>
      <w:r>
        <w:t xml:space="preserve"> </w:t>
      </w:r>
      <w:r w:rsidR="00F13A42">
        <w:t>statute</w:t>
      </w:r>
      <w:r>
        <w:t>,</w:t>
      </w:r>
      <w:r w:rsidRPr="00963E05">
        <w:t xml:space="preserve"> and </w:t>
      </w:r>
      <w:r>
        <w:t xml:space="preserve">neither the SFMO, nor the Utah Department of Public Safety, nor the State of Utah </w:t>
      </w:r>
      <w:r w:rsidRPr="00963E05">
        <w:t xml:space="preserve">endorse </w:t>
      </w:r>
      <w:r>
        <w:t xml:space="preserve">these </w:t>
      </w:r>
      <w:r w:rsidRPr="00963E05">
        <w:t xml:space="preserve">or any </w:t>
      </w:r>
      <w:r>
        <w:t xml:space="preserve">other </w:t>
      </w:r>
      <w:r w:rsidRPr="00963E05">
        <w:t>product</w:t>
      </w:r>
      <w:r>
        <w:t>s</w:t>
      </w:r>
      <w:r w:rsidRPr="00963E05">
        <w:t>.</w:t>
      </w:r>
    </w:p>
    <w:p w:rsidR="00FE7433" w:rsidRDefault="00D831C2" w:rsidP="00ED3096">
      <w:r>
        <w:rPr>
          <w:noProof/>
        </w:rPr>
        <w:drawing>
          <wp:anchor distT="0" distB="0" distL="114300" distR="114300" simplePos="0" relativeHeight="251660800" behindDoc="0" locked="0" layoutInCell="1" allowOverlap="1" wp14:anchorId="34F9601F" wp14:editId="5DE94F37">
            <wp:simplePos x="0" y="0"/>
            <wp:positionH relativeFrom="column">
              <wp:posOffset>1744980</wp:posOffset>
            </wp:positionH>
            <wp:positionV relativeFrom="paragraph">
              <wp:posOffset>461645</wp:posOffset>
            </wp:positionV>
            <wp:extent cx="803910" cy="831215"/>
            <wp:effectExtent l="0" t="0" r="0" b="6985"/>
            <wp:wrapSquare wrapText="right"/>
            <wp:docPr id="4" name="Picture 4" descr="C:\Documents and Settings\coyporter.UTAH\My Documents\My Documents\FM Office Items\Letterhead Items\F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yporter.UTAH\My Documents\My Documents\FM Office Items\Letterhead Items\FM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433">
        <w:t xml:space="preserve">                                                                     </w:t>
      </w:r>
      <w:r w:rsidR="00FE7433">
        <w:tab/>
      </w:r>
    </w:p>
    <w:sectPr w:rsidR="00FE7433" w:rsidSect="00856D74">
      <w:pgSz w:w="10500" w:h="15840"/>
      <w:pgMar w:top="1440" w:right="1440" w:bottom="1440" w:left="1440" w:header="547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A2B" w:rsidRDefault="00EE0A2B" w:rsidP="00FF015B">
      <w:r>
        <w:separator/>
      </w:r>
    </w:p>
  </w:endnote>
  <w:endnote w:type="continuationSeparator" w:id="0">
    <w:p w:rsidR="00EE0A2B" w:rsidRDefault="00EE0A2B" w:rsidP="00FF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A2B" w:rsidRDefault="00EE0A2B" w:rsidP="00FF015B">
      <w:r>
        <w:separator/>
      </w:r>
    </w:p>
  </w:footnote>
  <w:footnote w:type="continuationSeparator" w:id="0">
    <w:p w:rsidR="00EE0A2B" w:rsidRDefault="00EE0A2B" w:rsidP="00FF015B">
      <w:r>
        <w:continuationSeparator/>
      </w:r>
    </w:p>
  </w:footnote>
  <w:footnote w:id="1">
    <w:p w:rsidR="00D831C2" w:rsidRDefault="00D831C2" w:rsidP="00D831C2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r w:rsidRPr="00B52ECE">
        <w:rPr>
          <w:rFonts w:ascii="Arial" w:hAnsi="Arial" w:cs="Arial"/>
          <w:color w:val="212121"/>
          <w:sz w:val="21"/>
          <w:szCs w:val="21"/>
        </w:rPr>
        <w:t>ICC 2018 Intl Fire Code § 202</w:t>
      </w:r>
      <w:r>
        <w:rPr>
          <w:rFonts w:ascii="Arial" w:hAnsi="Arial" w:cs="Arial"/>
          <w:color w:val="212121"/>
          <w:sz w:val="21"/>
          <w:szCs w:val="21"/>
        </w:rPr>
        <w:t xml:space="preserve"> General Definitions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44C86"/>
    <w:multiLevelType w:val="hybridMultilevel"/>
    <w:tmpl w:val="FC2A93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57A58"/>
    <w:multiLevelType w:val="hybridMultilevel"/>
    <w:tmpl w:val="A566EE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C21D6E"/>
    <w:multiLevelType w:val="hybridMultilevel"/>
    <w:tmpl w:val="59A0B9A4"/>
    <w:lvl w:ilvl="0" w:tplc="6A98A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3258A3"/>
    <w:multiLevelType w:val="hybridMultilevel"/>
    <w:tmpl w:val="6B82E8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344658"/>
    <w:multiLevelType w:val="hybridMultilevel"/>
    <w:tmpl w:val="7890BE28"/>
    <w:lvl w:ilvl="0" w:tplc="375E93B2">
      <w:start w:val="7864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266F10"/>
    <w:multiLevelType w:val="hybridMultilevel"/>
    <w:tmpl w:val="05EC70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17A"/>
    <w:rsid w:val="000114CD"/>
    <w:rsid w:val="0005438A"/>
    <w:rsid w:val="0007728E"/>
    <w:rsid w:val="000A33F1"/>
    <w:rsid w:val="000C22D4"/>
    <w:rsid w:val="000F3812"/>
    <w:rsid w:val="00136B75"/>
    <w:rsid w:val="00143279"/>
    <w:rsid w:val="00154C51"/>
    <w:rsid w:val="0018096E"/>
    <w:rsid w:val="001B662B"/>
    <w:rsid w:val="001E4FBF"/>
    <w:rsid w:val="001E717A"/>
    <w:rsid w:val="00204598"/>
    <w:rsid w:val="00244A8E"/>
    <w:rsid w:val="0025631D"/>
    <w:rsid w:val="00267209"/>
    <w:rsid w:val="00287C3C"/>
    <w:rsid w:val="002F28E5"/>
    <w:rsid w:val="002F350F"/>
    <w:rsid w:val="00381999"/>
    <w:rsid w:val="003C5943"/>
    <w:rsid w:val="003F011B"/>
    <w:rsid w:val="00420275"/>
    <w:rsid w:val="0043238F"/>
    <w:rsid w:val="00466B20"/>
    <w:rsid w:val="004741FB"/>
    <w:rsid w:val="00486D76"/>
    <w:rsid w:val="00502779"/>
    <w:rsid w:val="005202B9"/>
    <w:rsid w:val="00541C8F"/>
    <w:rsid w:val="00556392"/>
    <w:rsid w:val="005D2B09"/>
    <w:rsid w:val="005F120C"/>
    <w:rsid w:val="006205A8"/>
    <w:rsid w:val="0062476B"/>
    <w:rsid w:val="00683B61"/>
    <w:rsid w:val="00687F0A"/>
    <w:rsid w:val="006934D7"/>
    <w:rsid w:val="006A17D9"/>
    <w:rsid w:val="006A22E2"/>
    <w:rsid w:val="006A5332"/>
    <w:rsid w:val="007D45B3"/>
    <w:rsid w:val="008063A0"/>
    <w:rsid w:val="00856D74"/>
    <w:rsid w:val="008A5DC5"/>
    <w:rsid w:val="00967CA5"/>
    <w:rsid w:val="00986001"/>
    <w:rsid w:val="00A70526"/>
    <w:rsid w:val="00AB793D"/>
    <w:rsid w:val="00AC1251"/>
    <w:rsid w:val="00B03649"/>
    <w:rsid w:val="00B552E5"/>
    <w:rsid w:val="00B62CD0"/>
    <w:rsid w:val="00BC5725"/>
    <w:rsid w:val="00BE0008"/>
    <w:rsid w:val="00BE5D20"/>
    <w:rsid w:val="00C652C5"/>
    <w:rsid w:val="00C71405"/>
    <w:rsid w:val="00CA6DCE"/>
    <w:rsid w:val="00CA71F1"/>
    <w:rsid w:val="00CC5904"/>
    <w:rsid w:val="00CD1A76"/>
    <w:rsid w:val="00D33391"/>
    <w:rsid w:val="00D605AF"/>
    <w:rsid w:val="00D75B95"/>
    <w:rsid w:val="00D831C2"/>
    <w:rsid w:val="00DC7F41"/>
    <w:rsid w:val="00E539E9"/>
    <w:rsid w:val="00EA2A29"/>
    <w:rsid w:val="00EB1A02"/>
    <w:rsid w:val="00ED2B30"/>
    <w:rsid w:val="00EE0A2B"/>
    <w:rsid w:val="00F13A42"/>
    <w:rsid w:val="00F16EA0"/>
    <w:rsid w:val="00F552F8"/>
    <w:rsid w:val="00F777D8"/>
    <w:rsid w:val="00F82022"/>
    <w:rsid w:val="00FA50E5"/>
    <w:rsid w:val="00FB0E91"/>
    <w:rsid w:val="00FE7433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4D1B455"/>
  <w15:docId w15:val="{72A7D23D-0608-4F8F-8B11-C64750F5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430"/>
      </w:tabs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ind w:left="72" w:right="252"/>
      <w:jc w:val="center"/>
      <w:outlineLvl w:val="1"/>
    </w:pPr>
    <w:rPr>
      <w:rFonts w:ascii="High Tower Text" w:hAnsi="High Tower Text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2430"/>
      </w:tabs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autoSpaceDE w:val="0"/>
      <w:autoSpaceDN w:val="0"/>
      <w:adjustRightInd w:val="0"/>
      <w:jc w:val="center"/>
      <w:outlineLvl w:val="3"/>
    </w:pPr>
    <w:rPr>
      <w:rFonts w:ascii="Arial" w:hAnsi="Arial"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  <w:color w:val="333333"/>
      <w:sz w:val="20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color w:val="666699"/>
      <w:sz w:val="28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bCs/>
      <w:color w:val="666699"/>
      <w:sz w:val="20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b/>
      <w:bCs/>
      <w:i/>
      <w:iCs/>
      <w:color w:val="666699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252"/>
      <w:jc w:val="right"/>
    </w:pPr>
    <w:rPr>
      <w:rFonts w:ascii="High Tower Text" w:hAnsi="High Tower Text"/>
      <w:color w:val="000000"/>
      <w:szCs w:val="32"/>
    </w:rPr>
  </w:style>
  <w:style w:type="paragraph" w:styleId="BodyText2">
    <w:name w:val="Body Text 2"/>
    <w:basedOn w:val="Normal"/>
    <w:semiHidden/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firstLine="720"/>
    </w:pPr>
    <w:rPr>
      <w:sz w:val="21"/>
    </w:rPr>
  </w:style>
  <w:style w:type="paragraph" w:styleId="Header">
    <w:name w:val="header"/>
    <w:basedOn w:val="Normal"/>
    <w:link w:val="HeaderChar"/>
    <w:uiPriority w:val="99"/>
    <w:unhideWhenUsed/>
    <w:rsid w:val="00FF01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F01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01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015B"/>
    <w:rPr>
      <w:sz w:val="24"/>
      <w:szCs w:val="24"/>
    </w:rPr>
  </w:style>
  <w:style w:type="character" w:customStyle="1" w:styleId="Heading6Char">
    <w:name w:val="Heading 6 Char"/>
    <w:link w:val="Heading6"/>
    <w:rsid w:val="00FF015B"/>
    <w:rPr>
      <w:color w:val="666699"/>
      <w:sz w:val="28"/>
      <w:szCs w:val="24"/>
    </w:rPr>
  </w:style>
  <w:style w:type="character" w:customStyle="1" w:styleId="Heading7Char">
    <w:name w:val="Heading 7 Char"/>
    <w:link w:val="Heading7"/>
    <w:rsid w:val="00FF015B"/>
    <w:rPr>
      <w:b/>
      <w:bCs/>
      <w:color w:val="666699"/>
      <w:szCs w:val="24"/>
    </w:rPr>
  </w:style>
  <w:style w:type="character" w:customStyle="1" w:styleId="Heading8Char">
    <w:name w:val="Heading 8 Char"/>
    <w:link w:val="Heading8"/>
    <w:rsid w:val="00FF015B"/>
    <w:rPr>
      <w:b/>
      <w:bCs/>
      <w:i/>
      <w:iCs/>
      <w:color w:val="66669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05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1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31C2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31C2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D831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31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letishagarrick</dc:creator>
  <cp:lastModifiedBy>Coy Porter</cp:lastModifiedBy>
  <cp:revision>7</cp:revision>
  <cp:lastPrinted>2019-08-13T20:10:00Z</cp:lastPrinted>
  <dcterms:created xsi:type="dcterms:W3CDTF">2019-05-16T21:42:00Z</dcterms:created>
  <dcterms:modified xsi:type="dcterms:W3CDTF">2019-08-13T20:19:00Z</dcterms:modified>
</cp:coreProperties>
</file>